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embeddings/oleObject1.xlsx" ContentType="application/vnd.openxmlformats-officedocument.spreadsheetml.sheet"/>
  <Override PartName="/word/footer3.xml" ContentType="application/vnd.openxmlformats-officedocument.wordprocessingml.footer+xml"/>
  <Override PartName="/word/media/image1.png" ContentType="image/png"/>
  <Override PartName="/word/media/image2.png" ContentType="image/png"/>
  <Override PartName="/word/media/image3.wmf" ContentType="image/x-wmf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footer7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ConsPlusNormal1"/>
        <w:widowControl/>
        <w:tabs>
          <w:tab w:val="clear" w:pos="709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Требования к оформлению и составлению сметной документации</w:t>
      </w:r>
    </w:p>
    <w:p>
      <w:pPr>
        <w:pStyle w:val="ConsPlusNormal1"/>
        <w:widowControl/>
        <w:tabs>
          <w:tab w:val="clear" w:pos="709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cs="Times New Roman"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2025.2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сметной документации необходимо использовать сметно-нормативную базу ФСНБ-2022 (с актуальными изменениями)</w:t>
      </w:r>
      <w:r>
        <w:rPr>
          <w:rFonts w:cs="Times New Roman" w:ascii="Times New Roman" w:hAnsi="Times New Roman"/>
          <w:b/>
          <w:sz w:val="22"/>
          <w:szCs w:val="22"/>
        </w:rPr>
        <w:t>.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993" w:leader="none"/>
        </w:tabs>
        <w:ind w:lef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Определение сметной стоимости работ необходимо осуществлять</w:t>
      </w:r>
    </w:p>
    <w:p>
      <w:pPr>
        <w:pStyle w:val="ConsPlusNormal1"/>
        <w:widowControl/>
        <w:tabs>
          <w:tab w:val="left" w:pos="284" w:leader="none"/>
          <w:tab w:val="left" w:pos="426" w:leader="none"/>
          <w:tab w:val="left" w:pos="709" w:leader="none"/>
        </w:tabs>
        <w:snapToGrid w:val="false"/>
        <w:ind w:hanging="0"/>
        <w:jc w:val="both"/>
        <w:rPr/>
      </w:pPr>
      <w:r>
        <w:rPr>
          <w:rFonts w:cs="Times New Roman" w:ascii="Times New Roman" w:hAnsi="Times New Roman"/>
          <w:b/>
          <w:sz w:val="22"/>
          <w:szCs w:val="22"/>
        </w:rPr>
        <w:t xml:space="preserve">Ресурсно-индексным методом </w:t>
      </w:r>
      <w:r>
        <w:rPr>
          <w:rFonts w:cs="Times New Roman" w:ascii="Times New Roman" w:hAnsi="Times New Roman"/>
          <w:sz w:val="22"/>
          <w:szCs w:val="22"/>
        </w:rPr>
        <w:t xml:space="preserve">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</w:t>
      </w:r>
      <w:r>
        <w:rPr>
          <w:rFonts w:cs="Times New Roman" w:ascii="Times New Roman" w:hAnsi="Times New Roman"/>
          <w:b/>
          <w:sz w:val="22"/>
          <w:szCs w:val="22"/>
        </w:rPr>
        <w:t>текущем уровне цен</w:t>
      </w:r>
      <w:r>
        <w:rPr>
          <w:rFonts w:cs="Times New Roman" w:ascii="Times New Roman" w:hAnsi="Times New Roman"/>
          <w:sz w:val="22"/>
          <w:szCs w:val="22"/>
        </w:rPr>
        <w:t xml:space="preserve">. </w:t>
      </w:r>
    </w:p>
    <w:p>
      <w:pPr>
        <w:pStyle w:val="ConsPlusNormal1"/>
        <w:widowControl/>
        <w:numPr>
          <w:ilvl w:val="0"/>
          <w:numId w:val="3"/>
        </w:numPr>
        <w:tabs>
          <w:tab w:val="left" w:pos="284" w:leader="none"/>
          <w:tab w:val="left" w:pos="426" w:leader="none"/>
          <w:tab w:val="left" w:pos="709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определении сметной стоимости </w:t>
      </w:r>
      <w:r>
        <w:rPr>
          <w:rFonts w:cs="Times New Roman" w:ascii="Times New Roman" w:hAnsi="Times New Roman"/>
          <w:b/>
          <w:sz w:val="22"/>
          <w:szCs w:val="22"/>
        </w:rPr>
        <w:t>ресурсно-индексным</w:t>
      </w:r>
      <w:r>
        <w:rPr>
          <w:rFonts w:cs="Times New Roman" w:ascii="Times New Roman" w:hAnsi="Times New Roman"/>
          <w:sz w:val="22"/>
          <w:szCs w:val="22"/>
        </w:rPr>
        <w:t xml:space="preserve"> методом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ФРСН: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993" w:leader="none"/>
          <w:tab w:val="left" w:pos="1418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индексы</w:t>
      </w:r>
      <w:r>
        <w:rPr>
          <w:rFonts w:cs="Times New Roman" w:ascii="Times New Roman" w:hAnsi="Times New Roman"/>
          <w:b/>
          <w:sz w:val="22"/>
          <w:szCs w:val="22"/>
        </w:rPr>
        <w:t xml:space="preserve"> к отдельным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строительным ресурсам</w:t>
      </w:r>
      <w:r>
        <w:rPr>
          <w:rFonts w:cs="Times New Roman" w:ascii="Times New Roman" w:hAnsi="Times New Roman"/>
          <w:sz w:val="22"/>
          <w:szCs w:val="22"/>
        </w:rPr>
        <w:t xml:space="preserve">, индексы к </w:t>
      </w:r>
      <w:r>
        <w:rPr>
          <w:rFonts w:cs="Times New Roman" w:ascii="Times New Roman" w:hAnsi="Times New Roman"/>
          <w:b/>
          <w:sz w:val="22"/>
          <w:szCs w:val="22"/>
        </w:rPr>
        <w:t>группам строительных ресурсов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993" w:leader="none"/>
          <w:tab w:val="left" w:pos="1418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индексы изменения сметных цен </w:t>
      </w:r>
      <w:r>
        <w:rPr>
          <w:rFonts w:cs="Times New Roman" w:ascii="Times New Roman" w:hAnsi="Times New Roman"/>
          <w:b/>
          <w:sz w:val="22"/>
          <w:szCs w:val="22"/>
        </w:rPr>
        <w:t xml:space="preserve">на перевозку грузов </w:t>
      </w:r>
      <w:r>
        <w:rPr>
          <w:rFonts w:cs="Times New Roman" w:ascii="Times New Roman" w:hAnsi="Times New Roman"/>
          <w:sz w:val="22"/>
          <w:szCs w:val="22"/>
        </w:rPr>
        <w:t>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индексы изменения сметной </w:t>
      </w:r>
      <w:r>
        <w:rPr>
          <w:rFonts w:cs="Times New Roman" w:ascii="Times New Roman" w:hAnsi="Times New Roman"/>
          <w:b/>
          <w:sz w:val="22"/>
          <w:szCs w:val="22"/>
        </w:rPr>
        <w:t xml:space="preserve">стоимости оборудования </w:t>
      </w:r>
      <w:r>
        <w:rPr>
          <w:rFonts w:cs="Times New Roman" w:ascii="Times New Roman" w:hAnsi="Times New Roman"/>
          <w:sz w:val="22"/>
          <w:szCs w:val="22"/>
        </w:rPr>
        <w:t>– применяются к сметной стоимости оборудования;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индексы изменения сметной стоимости, рассчитываемые для применения к сметной стоимости отдельных видов </w:t>
      </w:r>
      <w:r>
        <w:rPr>
          <w:rFonts w:cs="Times New Roman" w:ascii="Times New Roman" w:hAnsi="Times New Roman"/>
          <w:b/>
          <w:sz w:val="22"/>
          <w:szCs w:val="22"/>
        </w:rPr>
        <w:t>прочих работ и затрат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/>
      </w:pPr>
      <w:r>
        <w:rPr>
          <w:rFonts w:cs="Times New Roman" w:ascii="Times New Roman" w:hAnsi="Times New Roman"/>
          <w:color w:val="000000"/>
          <w:sz w:val="22"/>
          <w:szCs w:val="22"/>
        </w:rPr>
        <w:t>Пересчет сметной стоимости в прогнозный уровень цен осуществляется в соответствии с Приложением № 3.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случае </w:t>
      </w:r>
      <w:r>
        <w:rPr>
          <w:rFonts w:cs="Times New Roman" w:ascii="Times New Roman" w:hAnsi="Times New Roman"/>
          <w:i/>
          <w:sz w:val="22"/>
          <w:szCs w:val="22"/>
        </w:rPr>
        <w:t>отсутствия</w:t>
      </w:r>
      <w:r>
        <w:rPr>
          <w:rFonts w:cs="Times New Roman" w:ascii="Times New Roman" w:hAnsi="Times New Roman"/>
          <w:sz w:val="22"/>
          <w:szCs w:val="22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788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bookmarkStart w:id="0" w:name="_Hlk86254526"/>
      <w:r>
        <w:rPr>
          <w:rFonts w:cs="Times New Roman" w:ascii="Times New Roman" w:hAnsi="Times New Roman"/>
          <w:sz w:val="22"/>
          <w:szCs w:val="22"/>
        </w:rPr>
        <w:t xml:space="preserve">При </w:t>
      </w:r>
      <w:r>
        <w:rPr>
          <w:rFonts w:cs="Times New Roman" w:ascii="Times New Roman" w:hAnsi="Times New Roman"/>
          <w:i/>
          <w:sz w:val="22"/>
          <w:szCs w:val="22"/>
        </w:rPr>
        <w:t xml:space="preserve">отсутствии </w:t>
      </w:r>
      <w:r>
        <w:rPr>
          <w:rFonts w:cs="Times New Roman" w:ascii="Times New Roman" w:hAnsi="Times New Roman"/>
          <w:sz w:val="22"/>
          <w:szCs w:val="22"/>
        </w:rPr>
        <w:t>информации о сметных ценах в ФГИС ЦС по материальным ресурсам и оборудованию, их сметная цена формируется</w:t>
      </w:r>
      <w:bookmarkEnd w:id="0"/>
      <w:r>
        <w:rPr>
          <w:rFonts w:cs="Times New Roman" w:ascii="Times New Roman" w:hAnsi="Times New Roman"/>
          <w:sz w:val="22"/>
          <w:szCs w:val="22"/>
        </w:rPr>
        <w:t xml:space="preserve"> по наиболее экономичному варианту Методом анализа ТКП в соответствии с Приложением “Метод анализа ТКП”</w:t>
      </w:r>
      <w:r>
        <w:rPr>
          <w:rFonts w:cs="Times New Roman" w:ascii="Times New Roman" w:hAnsi="Times New Roman"/>
          <w:b/>
          <w:sz w:val="22"/>
          <w:szCs w:val="22"/>
        </w:rPr>
        <w:t>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Транспортные затраты определяются следующими методами:</w:t>
      </w:r>
    </w:p>
    <w:p>
      <w:pPr>
        <w:pStyle w:val="ConsPlusNormal1"/>
        <w:widowControl/>
        <w:tabs>
          <w:tab w:val="clear" w:pos="709"/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12.1. </w:t>
      </w:r>
      <w:r>
        <w:rPr>
          <w:rFonts w:cs="Times New Roman" w:ascii="Times New Roman" w:hAnsi="Times New Roman"/>
          <w:b/>
          <w:sz w:val="22"/>
          <w:szCs w:val="22"/>
        </w:rPr>
        <w:t>по доставке материальных ресурсов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9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ТКП;</w:t>
      </w:r>
    </w:p>
    <w:p>
      <w:pPr>
        <w:pStyle w:val="ConsPlusNormal1"/>
        <w:widowControl/>
        <w:numPr>
          <w:ilvl w:val="0"/>
          <w:numId w:val="9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ConsPlusNormal1"/>
        <w:tabs>
          <w:tab w:val="clear" w:pos="709"/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12.2.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cs="Times New Roman" w:ascii="Times New Roman" w:hAnsi="Times New Roman"/>
          <w:b/>
          <w:bCs/>
          <w:sz w:val="22"/>
          <w:szCs w:val="22"/>
        </w:rPr>
        <w:t>по доставке оборудования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ConsPlusNormal1"/>
        <w:widowControl/>
        <w:numPr>
          <w:ilvl w:val="0"/>
          <w:numId w:val="16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17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ТКП;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>
      <w:pPr>
        <w:pStyle w:val="ConsPlusNormal1"/>
        <w:tabs>
          <w:tab w:val="clear" w:pos="709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tabs>
          <w:tab w:val="clear" w:pos="709"/>
          <w:tab w:val="left" w:pos="567" w:leader="none"/>
          <w:tab w:val="left" w:pos="993" w:leader="none"/>
        </w:tabs>
        <w:spacing w:before="40" w:after="40"/>
        <w:ind w:left="567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 для материальных ресурсов (кроме металлоконструкций);</w:t>
      </w:r>
    </w:p>
    <w:p>
      <w:pPr>
        <w:pStyle w:val="ConsPlusNormal1"/>
        <w:tabs>
          <w:tab w:val="clear" w:pos="709"/>
          <w:tab w:val="left" w:pos="567" w:leader="none"/>
          <w:tab w:val="left" w:pos="993" w:leader="none"/>
        </w:tabs>
        <w:spacing w:before="40" w:after="40"/>
        <w:ind w:left="567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 - для металлоконструкций;</w:t>
      </w:r>
    </w:p>
    <w:p>
      <w:pPr>
        <w:pStyle w:val="ConsPlusNormal1"/>
        <w:tabs>
          <w:tab w:val="clear" w:pos="709"/>
          <w:tab w:val="left" w:pos="567" w:leader="none"/>
          <w:tab w:val="left" w:pos="993" w:leader="none"/>
        </w:tabs>
        <w:spacing w:before="40" w:after="40"/>
        <w:ind w:left="567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</w:t>
      </w:r>
      <w:r>
        <w:rPr>
          <w:rFonts w:cs="Times New Roman" w:ascii="Times New Roman" w:hAnsi="Times New Roman"/>
          <w:color w:val="000000"/>
          <w:sz w:val="22"/>
          <w:szCs w:val="22"/>
        </w:rPr>
        <w:t>атраты на эксплуатацию строительной техники, не учтенной нормами и расценками, включенными в ФРСН, определяются по наиболее экономичному варианту Методом анализа ТКП в соответствии с Приложением “Метод анализа ТКП” и учитываются в Главе 9 Сводного сметного расчета стоимости строительства (далее — ССРСС).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cs="Times New Roman" w:ascii="Times New Roman" w:hAnsi="Times New Roman"/>
          <w:i/>
          <w:iCs/>
          <w:color w:val="000000"/>
          <w:sz w:val="22"/>
          <w:szCs w:val="22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</w:t>
      </w:r>
      <w:r>
        <w:rPr>
          <w:rFonts w:cs="Times New Roman" w:ascii="Times New Roman" w:hAnsi="Times New Roman"/>
          <w:color w:val="000000"/>
          <w:sz w:val="22"/>
          <w:szCs w:val="22"/>
        </w:rPr>
        <w:t>, либо указывается в примечании, через дополнительную информацию (в ПК Гранд-Смета).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cs="Times New Roman" w:ascii="Times New Roman" w:hAnsi="Times New Roman"/>
          <w:color w:val="FF0000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применении нескольких коэффициентов, результирующее значение коэффициента определяется в соответствии с </w:t>
      </w:r>
      <w:r>
        <w:rPr>
          <w:rFonts w:cs="Times New Roman" w:ascii="Times New Roman" w:hAnsi="Times New Roman"/>
          <w:sz w:val="22"/>
          <w:szCs w:val="22"/>
        </w:rPr>
        <w:t>Методикой определения сметной стоимости строительства</w:t>
      </w:r>
      <w:r>
        <w:rPr>
          <w:rFonts w:cs="Times New Roman" w:ascii="Times New Roman" w:hAnsi="Times New Roman"/>
          <w:color w:val="000000"/>
          <w:sz w:val="22"/>
          <w:szCs w:val="22"/>
        </w:rPr>
        <w:t>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-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наличии двух и более сметных расчетов составлять ССРСС в текущем уровне цен по форме, утвержденной Методикой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необходимости учета командировочных расходов в сметной документации составляется расчет по форме Приложения № 2.</w:t>
      </w:r>
      <w:bookmarkStart w:id="1" w:name="_GoBack"/>
      <w:bookmarkEnd w:id="1"/>
      <w:r>
        <w:rPr>
          <w:rFonts w:cs="Times New Roman" w:ascii="Times New Roman" w:hAnsi="Times New Roman"/>
          <w:color w:val="000000"/>
          <w:sz w:val="22"/>
          <w:szCs w:val="22"/>
        </w:rPr>
        <w:t xml:space="preserve"> 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 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суточные – 700 руб./сутки;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проживание – 500 руб./сутки;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bookmarkStart w:id="2" w:name="_Ref19086149"/>
      <w:r>
        <w:rPr>
          <w:rFonts w:cs="Times New Roman" w:ascii="Times New Roman" w:hAnsi="Times New Roman"/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округлять:</w:t>
      </w:r>
      <w:bookmarkEnd w:id="2"/>
    </w:p>
    <w:p>
      <w:pPr>
        <w:pStyle w:val="ConsPlusNormal1"/>
        <w:numPr>
          <w:ilvl w:val="0"/>
          <w:numId w:val="8"/>
        </w:numPr>
        <w:tabs>
          <w:tab w:val="clear" w:pos="709"/>
          <w:tab w:val="left" w:pos="567" w:leader="none"/>
          <w:tab w:val="left" w:pos="851" w:leader="none"/>
          <w:tab w:val="left" w:pos="993" w:leader="none"/>
          <w:tab w:val="left" w:pos="1246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cs="Times New Roman" w:ascii="Times New Roman" w:hAnsi="Times New Roman"/>
          <w:b/>
          <w:sz w:val="22"/>
          <w:szCs w:val="22"/>
        </w:rPr>
        <w:t>в рублях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до целых единиц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cs="Times New Roman" w:ascii="Times New Roman" w:hAnsi="Times New Roman"/>
          <w:b/>
          <w:sz w:val="22"/>
          <w:szCs w:val="22"/>
        </w:rPr>
        <w:t>рублях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до двух знаков</w:t>
      </w:r>
      <w:r>
        <w:rPr>
          <w:rFonts w:cs="Times New Roman" w:ascii="Times New Roman" w:hAnsi="Times New Roman"/>
          <w:sz w:val="22"/>
          <w:szCs w:val="22"/>
        </w:rPr>
        <w:t xml:space="preserve"> после запятой. Величину НДС не указывать.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Выходные формы сводных сметных расчетов должны соответствовать Образцам по приложений 1.1, 1.2. 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</w:p>
    <w:p>
      <w:pPr>
        <w:pStyle w:val="ConsPlusNormal1"/>
        <w:widowControl/>
        <w:numPr>
          <w:ilvl w:val="1"/>
          <w:numId w:val="3"/>
        </w:numPr>
        <w:tabs>
          <w:tab w:val="clear" w:pos="709"/>
          <w:tab w:val="left" w:pos="567" w:leader="none"/>
          <w:tab w:val="left" w:pos="851" w:leader="none"/>
          <w:tab w:val="left" w:pos="993" w:leader="none"/>
          <w:tab w:val="left" w:pos="1085" w:leader="none"/>
          <w:tab w:val="left" w:pos="1246" w:leader="none"/>
          <w:tab w:val="left" w:pos="1477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numPr>
          <w:ilvl w:val="2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предоставляемой электроэнергии (в том числе, в составе стоимости машино-часа):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Рассчитанная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FootnoteReference"/>
          <w:rFonts w:ascii="Times New Roman" w:hAnsi="Times New Roman"/>
        </w:rPr>
        <w:footnoteReference w:id="2"/>
      </w:r>
      <w:r>
        <w:rPr>
          <w:rFonts w:ascii="Times New Roman" w:hAnsi="Times New Roman"/>
        </w:rPr>
        <w:t xml:space="preserve">. 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ConsPlusNormal1"/>
        <w:widowControl/>
        <w:numPr>
          <w:ilvl w:val="2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предоставляемому сжатому воздуху:</w:t>
      </w:r>
    </w:p>
    <w:p>
      <w:pPr>
        <w:pStyle w:val="ListParagraph"/>
        <w:numPr>
          <w:ilvl w:val="0"/>
          <w:numId w:val="11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>
      <w:pPr>
        <w:pStyle w:val="ConsPlusNormal1"/>
        <w:widowControl/>
        <w:numPr>
          <w:ilvl w:val="2"/>
          <w:numId w:val="3"/>
        </w:numPr>
        <w:tabs>
          <w:tab w:val="clear" w:pos="709"/>
          <w:tab w:val="left" w:pos="567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Учтенные в составе накладных расходов: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1701" w:leader="none"/>
        </w:tabs>
        <w:spacing w:before="40" w:after="40"/>
        <w:ind w:left="1701" w:hanging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1701" w:leader="none"/>
        </w:tabs>
        <w:spacing w:before="40" w:after="40"/>
        <w:ind w:left="1701" w:hanging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содержание пожарной и сторожевой охраны (удельный вес статьи затрат в накладных расходах -2,01%);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1701" w:leader="none"/>
        </w:tabs>
        <w:spacing w:before="40" w:after="40"/>
        <w:ind w:left="1701" w:hanging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расходы по благоустройству и содержанию строительных площадок (удельный вес статьи затрат в накладных расходах -1,61%) 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FootnoteReference"/>
          <w:rFonts w:cs="Times New Roman" w:ascii="Times New Roman" w:hAnsi="Times New Roman"/>
          <w:sz w:val="22"/>
          <w:szCs w:val="22"/>
        </w:rPr>
        <w:footnoteReference w:id="3"/>
      </w:r>
      <w:r>
        <w:rPr>
          <w:rFonts w:cs="Times New Roman" w:ascii="Times New Roman" w:hAnsi="Times New Roman"/>
          <w:sz w:val="22"/>
          <w:szCs w:val="22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документация должна быть представлена на электронном носителе (в форматах «</w:t>
      </w:r>
      <w:r>
        <w:rPr>
          <w:rFonts w:cs="Times New Roman" w:ascii="Times New Roman" w:hAnsi="Times New Roman"/>
          <w:sz w:val="22"/>
          <w:szCs w:val="22"/>
          <w:lang w:val="en-US"/>
        </w:rPr>
        <w:t>xml</w:t>
      </w:r>
      <w:r>
        <w:rPr>
          <w:rFonts w:cs="Times New Roman" w:ascii="Times New Roman" w:hAnsi="Times New Roman"/>
          <w:sz w:val="22"/>
          <w:szCs w:val="22"/>
        </w:rPr>
        <w:t>»,</w:t>
      </w:r>
      <w:r>
        <w:rPr>
          <w:rFonts w:cs="Times New Roman" w:ascii="Times New Roman" w:hAnsi="Times New Roman"/>
          <w:color w:val="2E74B5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ПК «Гранд-Смета», «Excel», «</w:t>
      </w:r>
      <w:r>
        <w:rPr>
          <w:rFonts w:cs="Times New Roman" w:ascii="Times New Roman" w:hAnsi="Times New Roman"/>
          <w:sz w:val="22"/>
          <w:szCs w:val="22"/>
          <w:lang w:val="en-US"/>
        </w:rPr>
        <w:t>pdf</w:t>
      </w:r>
      <w:r>
        <w:rPr>
          <w:rFonts w:cs="Times New Roman" w:ascii="Times New Roman" w:hAnsi="Times New Roman"/>
          <w:sz w:val="22"/>
          <w:szCs w:val="22"/>
        </w:rPr>
        <w:t>»);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документация в формате «Exce</w:t>
      </w:r>
      <w:r>
        <w:rPr>
          <w:rFonts w:cs="Times New Roman" w:ascii="Times New Roman" w:hAnsi="Times New Roman"/>
          <w:sz w:val="22"/>
          <w:szCs w:val="22"/>
          <w:lang w:val="en-US"/>
        </w:rPr>
        <w:t>l</w:t>
      </w:r>
      <w:r>
        <w:rPr>
          <w:rFonts w:cs="Times New Roman" w:ascii="Times New Roman" w:hAnsi="Times New Roman"/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sectPr>
          <w:footerReference w:type="default" r:id="rId2"/>
          <w:footnotePr>
            <w:numFmt w:val="decimal"/>
            <w:numRestart w:val="eachSect"/>
          </w:footnotePr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Выходная форма локальных сметный расчетов ПК «Гранд-смета» должна быть представлена в соответствии с Методикой определения сметной стоимости строительства.</w:t>
      </w:r>
      <w:r>
        <w:br w:type="page"/>
      </w:r>
    </w:p>
    <w:p>
      <w:pPr>
        <w:pStyle w:val="Normal"/>
        <w:spacing w:lineRule="auto" w:line="240" w:before="0" w:after="0"/>
        <w:ind w:left="5812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  <w:u w:val="singl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 договорам на реконструкцию, техническое перевооружение и ремонт и дополнительным соглашениям к указанным договорам.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</w:rPr>
        <w:t>№ 1.1.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>
      <w:pPr>
        <w:sectPr>
          <w:footerReference w:type="default" r:id="rId3"/>
          <w:footerReference w:type="first" r:id="rId4"/>
          <w:footnotePr>
            <w:numFmt w:val="decimal"/>
            <w:numRestart w:val="eachSect"/>
          </w:footnotePr>
          <w:type w:val="nextPage"/>
          <w:pgSz w:w="11906" w:h="16838"/>
          <w:pgMar w:left="720" w:right="284" w:gutter="0" w:header="0" w:top="426" w:footer="709" w:bottom="924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numPr>
          <w:ilvl w:val="0"/>
          <w:numId w:val="7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>
      <w:pPr>
        <w:pStyle w:val="ConsPlusNormal1"/>
        <w:ind w:left="57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>Приложение № 1.1</w:t>
      </w:r>
    </w:p>
    <w:p>
      <w:pPr>
        <w:pStyle w:val="ConsPlusNormal1"/>
        <w:ind w:left="57" w:firstLine="720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>
      <w:pPr>
        <w:pStyle w:val="ConsPlusNormal1"/>
        <w:ind w:left="5811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Приложение №___                                                                                    к договору от_______№_____ 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3" w:name="P3258"/>
      <w:bookmarkStart w:id="4" w:name="P2945"/>
      <w:bookmarkStart w:id="5" w:name="P2746"/>
      <w:bookmarkStart w:id="6" w:name="P2736"/>
      <w:bookmarkStart w:id="7" w:name="P2616"/>
      <w:bookmarkStart w:id="8" w:name="P2566"/>
      <w:bookmarkStart w:id="9" w:name="P2546"/>
      <w:bookmarkStart w:id="10" w:name="P2531"/>
      <w:bookmarkStart w:id="11" w:name="P2530"/>
      <w:bookmarkStart w:id="12" w:name="P2529"/>
      <w:bookmarkStart w:id="13" w:name="P2528"/>
      <w:bookmarkStart w:id="14" w:name="P2527"/>
      <w:bookmarkStart w:id="15" w:name="P2526"/>
      <w:bookmarkStart w:id="16" w:name="P2525"/>
      <w:bookmarkStart w:id="17" w:name="P2524"/>
      <w:bookmarkStart w:id="18" w:name="P2523"/>
      <w:bookmarkStart w:id="19" w:name="P2522"/>
      <w:bookmarkStart w:id="20" w:name="P2506"/>
      <w:bookmarkStart w:id="21" w:name="P3258"/>
      <w:bookmarkStart w:id="22" w:name="P2945"/>
      <w:bookmarkStart w:id="23" w:name="P2746"/>
      <w:bookmarkStart w:id="24" w:name="P2736"/>
      <w:bookmarkStart w:id="25" w:name="P2616"/>
      <w:bookmarkStart w:id="26" w:name="P2566"/>
      <w:bookmarkStart w:id="27" w:name="P2546"/>
      <w:bookmarkStart w:id="28" w:name="P2531"/>
      <w:bookmarkStart w:id="29" w:name="P2530"/>
      <w:bookmarkStart w:id="30" w:name="P2529"/>
      <w:bookmarkStart w:id="31" w:name="P2528"/>
      <w:bookmarkStart w:id="32" w:name="P2527"/>
      <w:bookmarkStart w:id="33" w:name="P2526"/>
      <w:bookmarkStart w:id="34" w:name="P2525"/>
      <w:bookmarkStart w:id="35" w:name="P2524"/>
      <w:bookmarkStart w:id="36" w:name="P2523"/>
      <w:bookmarkStart w:id="37" w:name="P2522"/>
      <w:bookmarkStart w:id="38" w:name="P2506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W w:w="1009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3063"/>
        <w:gridCol w:w="7031"/>
      </w:tblGrid>
      <w:tr>
        <w:trPr>
          <w:trHeight w:val="1158" w:hRule="atLeast"/>
        </w:trPr>
        <w:tc>
          <w:tcPr>
            <w:tcW w:w="3063" w:type="dxa"/>
            <w:tcBorders/>
          </w:tcPr>
          <w:p>
            <w:pPr>
              <w:pStyle w:val="ConsPlusNormal1"/>
              <w:widowControl w:val="false"/>
              <w:ind w:left="28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 xml:space="preserve">:                                           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______________(Подрядчик )       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0" w:leader="none"/>
              </w:tabs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1"/>
              <w:widowControl w:val="false"/>
              <w:ind w:left="142" w:hanging="142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031" w:type="dxa"/>
            <w:tcBorders/>
          </w:tcPr>
          <w:p>
            <w:pPr>
              <w:pStyle w:val="ConsPlusNormal1"/>
              <w:widowControl w:val="false"/>
              <w:ind w:right="-3855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 xml:space="preserve">_____________(Заказчик )       </w:t>
            </w:r>
          </w:p>
          <w:p>
            <w:pPr>
              <w:pStyle w:val="ConsPlusNormal1"/>
              <w:widowControl w:val="false"/>
              <w:ind w:left="2551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063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031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094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5000" w:type="pct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597"/>
        <w:gridCol w:w="2343"/>
        <w:gridCol w:w="2738"/>
      </w:tblGrid>
      <w:tr>
        <w:trPr/>
        <w:tc>
          <w:tcPr>
            <w:tcW w:w="4597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3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9678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9678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9678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9678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9678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9678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/>
      </w:pPr>
      <w:r>
        <w:rPr/>
      </w:r>
    </w:p>
    <w:tbl>
      <w:tblPr>
        <w:tblW w:w="5000" w:type="pct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56"/>
        <w:gridCol w:w="877"/>
        <w:gridCol w:w="248"/>
        <w:gridCol w:w="1120"/>
        <w:gridCol w:w="322"/>
        <w:gridCol w:w="1184"/>
        <w:gridCol w:w="379"/>
        <w:gridCol w:w="995"/>
        <w:gridCol w:w="1378"/>
        <w:gridCol w:w="1254"/>
        <w:gridCol w:w="1363"/>
      </w:tblGrid>
      <w:tr>
        <w:trPr>
          <w:trHeight w:val="212" w:hRule="atLeast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Nп/п</w:t>
            </w:r>
          </w:p>
        </w:tc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3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6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5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36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1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tabs>
                <w:tab w:val="clear" w:pos="709"/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6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1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1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6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4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79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программе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clear" w:pos="709"/>
          <w:tab w:val="left" w:pos="6804" w:leader="none"/>
        </w:tabs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clear" w:pos="709"/>
          <w:tab w:val="left" w:pos="6946" w:leader="none"/>
        </w:tabs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к договору от________№_____ </w:t>
      </w:r>
    </w:p>
    <w:tbl>
      <w:tblPr>
        <w:tblW w:w="5000" w:type="pct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1079"/>
        <w:gridCol w:w="8598"/>
      </w:tblGrid>
      <w:tr>
        <w:trPr/>
        <w:tc>
          <w:tcPr>
            <w:tcW w:w="1079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8598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79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8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9677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5000" w:type="pct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597"/>
        <w:gridCol w:w="2343"/>
        <w:gridCol w:w="2738"/>
      </w:tblGrid>
      <w:tr>
        <w:trPr/>
        <w:tc>
          <w:tcPr>
            <w:tcW w:w="4597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3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9678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9678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5000" w:type="pct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9678"/>
      </w:tblGrid>
      <w:tr>
        <w:trPr/>
        <w:tc>
          <w:tcPr>
            <w:tcW w:w="9678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9678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9678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9678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188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76"/>
        <w:gridCol w:w="849"/>
        <w:gridCol w:w="125"/>
        <w:gridCol w:w="1346"/>
        <w:gridCol w:w="127"/>
        <w:gridCol w:w="1288"/>
        <w:gridCol w:w="1075"/>
        <w:gridCol w:w="1312"/>
        <w:gridCol w:w="1245"/>
        <w:gridCol w:w="1244"/>
      </w:tblGrid>
      <w:tr>
        <w:trPr>
          <w:trHeight w:val="311" w:hRule="atLeast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Nп/п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Обоснование</w:t>
            </w:r>
          </w:p>
        </w:tc>
        <w:tc>
          <w:tcPr>
            <w:tcW w:w="14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62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47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монтажных работ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оборудования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прочих затрат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57" w:right="340" w:hanging="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  <w:p>
            <w:pPr>
              <w:pStyle w:val="ConsPlusNormal1"/>
              <w:widowControl w:val="false"/>
              <w:ind w:left="57" w:right="1077" w:firstLine="737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8</w:t>
            </w:r>
          </w:p>
        </w:tc>
      </w:tr>
      <w:tr>
        <w:trPr/>
        <w:tc>
          <w:tcPr>
            <w:tcW w:w="91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Сметы основного договора </w:t>
            </w:r>
          </w:p>
        </w:tc>
      </w:tr>
      <w:tr>
        <w:trPr>
          <w:trHeight w:val="287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39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Итого по сметам основного договора 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91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Итого включено дополнительным соглашением № 1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6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Итого исключено дополнительным соглашением № 2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Итого по главе №: __________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Итого по главам №№: 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Всего по ССР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283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.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i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Сумма основного договора, без НДС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3023" w:type="dxa"/>
            <w:gridSpan w:val="5"/>
            <w:tcBorders/>
          </w:tcPr>
          <w:p>
            <w:pPr>
              <w:pStyle w:val="ConsPlusNormal1"/>
              <w:widowControl w:val="false"/>
              <w:tabs>
                <w:tab w:val="clear" w:pos="709"/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1"/>
              <w:widowControl w:val="false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6164" w:type="dxa"/>
            <w:gridSpan w:val="5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023" w:type="dxa"/>
            <w:gridSpan w:val="5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64" w:type="dxa"/>
            <w:gridSpan w:val="5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3023" w:type="dxa"/>
            <w:gridSpan w:val="5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6164" w:type="dxa"/>
            <w:gridSpan w:val="5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023" w:type="dxa"/>
            <w:gridSpan w:val="5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64" w:type="dxa"/>
            <w:gridSpan w:val="5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550" w:type="dxa"/>
            <w:gridSpan w:val="3"/>
            <w:tcBorders/>
          </w:tcPr>
          <w:p>
            <w:pPr>
              <w:pStyle w:val="ConsPlusNormal1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5" w:type="dxa"/>
            <w:gridSpan w:val="2"/>
            <w:tcBorders/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4876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550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6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415" w:type="dxa"/>
            <w:gridSpan w:val="2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876" w:type="dxa"/>
            <w:gridSpan w:val="4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550" w:type="dxa"/>
            <w:gridSpan w:val="3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7637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550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637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sectPr>
          <w:footerReference w:type="default" r:id="rId5"/>
          <w:footerReference w:type="first" r:id="rId6"/>
          <w:footnotePr>
            <w:numFmt w:val="decimal"/>
            <w:numRestart w:val="eachSect"/>
          </w:footnotePr>
          <w:type w:val="nextPage"/>
          <w:pgSz w:w="11906" w:h="16838"/>
          <w:pgMar w:left="1304" w:right="924" w:gutter="0" w:header="0" w:top="709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9850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22"/>
        <w:gridCol w:w="852"/>
        <w:gridCol w:w="851"/>
        <w:gridCol w:w="1286"/>
        <w:gridCol w:w="1267"/>
        <w:gridCol w:w="1481"/>
        <w:gridCol w:w="1651"/>
        <w:gridCol w:w="2038"/>
      </w:tblGrid>
      <w:tr>
        <w:trPr>
          <w:trHeight w:val="433" w:hRule="atLeast"/>
        </w:trPr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6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0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21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15"/>
        <w:gridCol w:w="715"/>
        <w:gridCol w:w="855"/>
        <w:gridCol w:w="853"/>
        <w:gridCol w:w="1072"/>
        <w:gridCol w:w="853"/>
        <w:gridCol w:w="735"/>
        <w:gridCol w:w="1"/>
        <w:gridCol w:w="801"/>
        <w:gridCol w:w="786"/>
        <w:gridCol w:w="743"/>
        <w:gridCol w:w="625"/>
        <w:gridCol w:w="916"/>
        <w:gridCol w:w="842"/>
      </w:tblGrid>
      <w:tr>
        <w:trPr>
          <w:trHeight w:val="880" w:hRule="atLeast"/>
        </w:trPr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4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5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3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88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36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308" w:hRule="atLeast"/>
        </w:trPr>
        <w:tc>
          <w:tcPr>
            <w:tcW w:w="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3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9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32" w:hRule="atLeast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rPr>
          <w:rFonts w:ascii="Times New Roman" w:hAnsi="Times New Roman"/>
          <w:sz w:val="20"/>
          <w:szCs w:val="20"/>
          <w:lang w:val="en-US"/>
        </w:rPr>
      </w:pPr>
      <w:r>
        <w:br w:type="page"/>
      </w:r>
      <w:r>
        <w:rPr>
          <w:rFonts w:ascii="Times New Roman" w:hAnsi="Times New Roman"/>
          <w:sz w:val="20"/>
          <w:szCs w:val="20"/>
        </w:rPr>
        <w:t>Приложение №</w:t>
      </w:r>
      <w:r>
        <w:rPr>
          <w:rFonts w:ascii="Times New Roman" w:hAnsi="Times New Roman"/>
          <w:sz w:val="20"/>
          <w:szCs w:val="20"/>
          <w:lang w:val="en-US"/>
        </w:rPr>
        <w:t xml:space="preserve"> 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Требованиям к оформлению и составлению сметной документации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56"/>
        <w:gridCol w:w="134"/>
        <w:gridCol w:w="999"/>
        <w:gridCol w:w="710"/>
        <w:gridCol w:w="1275"/>
        <w:gridCol w:w="709"/>
        <w:gridCol w:w="1442"/>
        <w:gridCol w:w="1308"/>
        <w:gridCol w:w="936"/>
        <w:gridCol w:w="1132"/>
        <w:gridCol w:w="1558"/>
      </w:tblGrid>
      <w:tr>
        <w:trPr/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п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проживания, руб./сут.. </w:t>
              <w:br/>
              <w:t>(без НДС)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>
        <w:trPr/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7" w:hRule="atLeast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>
        <w:trPr/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sectPr>
          <w:footerReference w:type="default" r:id="rId7"/>
          <w:footerReference w:type="first" r:id="rId8"/>
          <w:footnotePr>
            <w:numFmt w:val="decimal"/>
            <w:numRestart w:val="eachSect"/>
          </w:footnotePr>
          <w:type w:val="nextPage"/>
          <w:pgSz w:w="11906" w:h="16838"/>
          <w:pgMar w:left="1134" w:right="709" w:gutter="0" w:header="0" w:top="709" w:footer="709" w:bottom="766"/>
          <w:pgNumType w:fmt="decimal"/>
          <w:formProt w:val="false"/>
          <w:textDirection w:val="lrTb"/>
          <w:docGrid w:type="default" w:linePitch="360" w:charSpace="0"/>
        </w:sectPr>
      </w:pPr>
      <w:r>
        <w:br w:type="page"/>
      </w:r>
    </w:p>
    <w:p>
      <w:pPr>
        <w:pStyle w:val="Normal"/>
        <w:spacing w:lineRule="auto" w:line="240" w:before="0" w:after="0"/>
        <w:jc w:val="right"/>
        <w:rPr/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  <w:lang w:val="en-US"/>
        </w:rPr>
        <w:t>3</w:t>
      </w:r>
      <w:r>
        <w:rPr>
          <w:rFonts w:ascii="Times New Roman" w:hAnsi="Times New Roman"/>
          <w:sz w:val="20"/>
          <w:szCs w:val="20"/>
        </w:rPr>
        <w:t xml:space="preserve"> 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bookmarkStart w:id="39" w:name="_GoBack_Копия_1"/>
      <w:bookmarkEnd w:id="39"/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before="120"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Порядок применения индексов инфляции</w:t>
      </w:r>
    </w:p>
    <w:p>
      <w:pPr>
        <w:pStyle w:val="34"/>
        <w:tabs>
          <w:tab w:val="clear" w:pos="709"/>
          <w:tab w:val="left" w:pos="738" w:leader="none"/>
          <w:tab w:val="left" w:pos="1560" w:leader="none"/>
        </w:tabs>
        <w:ind w:left="0" w:hanging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  <w:t>Для пересчета сметной стоимости в прогнозный уровень цен применяются текущие индексы – дефляторы в соответствии с прогнозом Министерства экономического развития РФ (прогноз «базовый», определенные в установленном порядке для Заказчика (в соответствии с планируемым периодом выполнения работ).</w:t>
      </w:r>
    </w:p>
    <w:p>
      <w:pPr>
        <w:pStyle w:val="34"/>
        <w:tabs>
          <w:tab w:val="clear" w:pos="709"/>
          <w:tab w:val="left" w:pos="738" w:leader="none"/>
          <w:tab w:val="left" w:pos="1560" w:leader="none"/>
        </w:tabs>
        <w:ind w:left="0" w:hanging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  <w:t>В случае, если планируемый период выполнения работ составляет до одного календарного года и сметная документация составлена в уровне цен того же года, индекс прогнозной инфляции на один месяц осуществляется извлечением квадратного корня двенадцатой степени из индекса прогнозной инфляции Минэкономразвития России (ИПЦ базовый, по строке - Показатели инфляции / в среднем за год ) установленного в целом за год:</w:t>
      </w:r>
    </w:p>
    <w:p>
      <w:pPr>
        <w:pStyle w:val="Normal"/>
        <w:widowControl w:val="false"/>
        <w:spacing w:before="0" w:after="0"/>
        <w:ind w:firstLine="567"/>
        <w:jc w:val="center"/>
        <w:rPr>
          <w:rFonts w:ascii="Times New Roman" w:hAnsi="Times New Roman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инфл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мес</m:t>
            </m:r>
          </m:sub>
        </m:sSub>
        <m:r>
          <w:rPr>
            <w:rFonts w:ascii="Cambria Math" w:hAnsi="Cambria Math"/>
          </w:rPr>
          <m:t xml:space="preserve">=</m:t>
        </m:r>
        <m:rad>
          <m:deg>
            <m:r>
              <w:rPr>
                <w:rFonts w:ascii="Cambria Math" w:hAnsi="Cambria Math"/>
              </w:rPr>
              <m:t xml:space="preserve">12</m:t>
            </m:r>
          </m:deg>
          <m:e>
            <m:sSub>
              <m:e>
                <m:r>
                  <w:rPr>
                    <w:rFonts w:ascii="Cambria Math" w:hAnsi="Cambria Math"/>
                  </w:rPr>
                  <m:t xml:space="preserve">И</m:t>
                </m:r>
              </m:e>
              <m:sub>
                <m:r>
                  <w:rPr>
                    <w:rFonts w:ascii="Cambria Math" w:hAnsi="Cambria Math"/>
                  </w:rPr>
                  <m:t xml:space="preserve">инфлгод</m:t>
                </m:r>
              </m:sub>
            </m:sSub>
          </m:e>
        </m:rad>
      </m:oMath>
      <w:r>
        <w:rPr>
          <w:rFonts w:eastAsia="Calibri" w:ascii="Times New Roman" w:hAnsi="Times New Roman"/>
          <w:lang w:eastAsia="en-US"/>
        </w:rPr>
        <w:t xml:space="preserve">          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где  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cs="Times New Roman" w:ascii="Times New Roman" w:hAnsi="Times New Roman"/>
          <w:i/>
          <w:iCs/>
          <w:sz w:val="22"/>
        </w:rPr>
        <w:t>И инфл мес</w:t>
      </w:r>
      <w:r>
        <w:rPr>
          <w:rFonts w:cs="Times New Roman" w:ascii="Times New Roman" w:hAnsi="Times New Roman"/>
          <w:sz w:val="22"/>
        </w:rPr>
        <w:t xml:space="preserve"> – индекс прогнозной инфляции на один месяц, полученное значение округляется до 4 знаков после запятой;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cs="Times New Roman" w:ascii="Times New Roman" w:hAnsi="Times New Roman"/>
          <w:i/>
          <w:iCs/>
          <w:sz w:val="22"/>
        </w:rPr>
        <w:t>И инфл год</w:t>
      </w:r>
      <w:r>
        <w:rPr>
          <w:rFonts w:cs="Times New Roman" w:ascii="Times New Roman" w:hAnsi="Times New Roman"/>
          <w:sz w:val="22"/>
        </w:rPr>
        <w:t xml:space="preserve"> – индекс-дефлятор Министерства экономического развития Российской Федерации </w:t>
      </w:r>
      <w:r>
        <w:rPr>
          <w:rFonts w:ascii="Times New Roman" w:hAnsi="Times New Roman"/>
          <w:sz w:val="22"/>
        </w:rPr>
        <w:t>(</w:t>
      </w:r>
      <w:r>
        <w:rPr>
          <w:rFonts w:cs="Times New Roman" w:ascii="Times New Roman" w:hAnsi="Times New Roman"/>
          <w:sz w:val="22"/>
        </w:rPr>
        <w:t>ИПЦ базовый, по строке - Показатели инфляции / в среднем за год).</w:t>
      </w:r>
    </w:p>
    <w:p>
      <w:pPr>
        <w:pStyle w:val="Style36"/>
        <w:widowControl w:val="false"/>
        <w:numPr>
          <w:ilvl w:val="0"/>
          <w:numId w:val="0"/>
        </w:numPr>
        <w:tabs>
          <w:tab w:val="clear" w:pos="709"/>
          <w:tab w:val="left" w:pos="738" w:leader="none"/>
        </w:tabs>
        <w:ind w:left="0" w:firstLine="737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ab/>
        <w:t>Для определения размера индекса прогнозной инфляции периодом в несколько месяцев, величина индекса прогнозной инфляции на один месяц возводится в степень размер которой соответствует количеству месяцев от даты определения стоимости работ до даты окончания работ, принимается среднее значение индекса-дефлятора, между индексом прогнозной инфляции на месяц начала производства работ и индексом на месяц окончания производства работ: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jc w:val="center"/>
        <w:rPr>
          <w:rFonts w:ascii="Times New Roman" w:hAnsi="Times New Roman"/>
          <w:sz w:val="22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инфл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пер</m:t>
            </m:r>
            <m:r>
              <w:rPr>
                <w:rFonts w:ascii="Cambria Math" w:hAnsi="Cambria Math"/>
              </w:rPr>
              <m:t xml:space="preserve">.</m:t>
            </m:r>
          </m:sub>
        </m:sSub>
        <m:r>
          <w:rPr>
            <w:rFonts w:ascii="Cambria Math" w:hAnsi="Cambria Math"/>
          </w:rPr>
          <m:t xml:space="preserve">=</m:t>
        </m:r>
        <m:d>
          <m:dPr>
            <m:begChr m:val="("/>
            <m:endChr m:val=")"/>
          </m:dPr>
          <m:e>
            <m:f>
              <m:num>
                <m:sSub>
                  <m:e>
                    <m:r>
                      <w:rPr>
                        <w:rFonts w:ascii="Cambria Math" w:hAnsi="Cambria Math"/>
                      </w:rPr>
                      <m:t xml:space="preserve">И</m:t>
                    </m:r>
                  </m:e>
                  <m:sub>
                    <m:sSup>
                      <m:e>
                        <m:r>
                          <w:rPr>
                            <w:rFonts w:ascii="Cambria Math" w:hAnsi="Cambria Math"/>
                          </w:rPr>
                          <m:t xml:space="preserve">инфл</m:t>
                        </m:r>
                        <m:r>
                          <w:rPr>
                            <w:rFonts w:ascii="Cambria Math" w:hAnsi="Cambria Math"/>
                          </w:rPr>
                          <m:t xml:space="preserve">.</m:t>
                        </m:r>
                        <m:r>
                          <w:rPr>
                            <w:rFonts w:ascii="Cambria Math" w:hAnsi="Cambria Math"/>
                          </w:rPr>
                          <m:t xml:space="preserve">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.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 xml:space="preserve">n</m:t>
                        </m:r>
                      </m:sup>
                    </m:sSup>
                  </m:sub>
                </m:sSub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1</m:t>
                </m:r>
              </m:num>
              <m:den>
                <m:r>
                  <w:rPr>
                    <w:rFonts w:ascii="Cambria Math" w:hAnsi="Cambria Math"/>
                  </w:rPr>
                  <m:t xml:space="preserve">2</m:t>
                </m:r>
              </m:den>
            </m:f>
          </m:e>
        </m:d>
        <m:r>
          <w:rPr>
            <w:rFonts w:ascii="Cambria Math" w:hAnsi="Cambria Math"/>
          </w:rPr>
          <m:t xml:space="preserve">+</m:t>
        </m:r>
        <m:r>
          <w:rPr>
            <w:rFonts w:ascii="Cambria Math" w:hAnsi="Cambria Math"/>
          </w:rPr>
          <m:t xml:space="preserve">1</m:t>
        </m:r>
      </m:oMath>
      <w:r>
        <w:rPr>
          <w:rFonts w:cs="Times New Roman" w:ascii="Times New Roman" w:hAnsi="Times New Roman"/>
          <w:sz w:val="22"/>
        </w:rPr>
        <w:t xml:space="preserve">       </w:t>
      </w:r>
      <w:r>
        <w:rPr>
          <w:rFonts w:cs="Times New Roman" w:ascii="Times New Roman" w:hAnsi="Times New Roman"/>
          <w:sz w:val="22"/>
        </w:rPr>
        <w:t>(1)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>где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cs="Times New Roman" w:ascii="Times New Roman" w:hAnsi="Times New Roman"/>
          <w:i/>
          <w:iCs/>
          <w:sz w:val="22"/>
        </w:rPr>
        <w:t>И инф пер</w:t>
      </w:r>
      <w:r>
        <w:rPr>
          <w:rFonts w:cs="Times New Roman" w:ascii="Times New Roman" w:hAnsi="Times New Roman"/>
          <w:sz w:val="22"/>
        </w:rPr>
        <w:t xml:space="preserve"> – индекс прогнозной инфляции для периода выполнения работ, полученное значение округляется до 4 знаков после запятой.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ab/>
        <w:t xml:space="preserve">В случае если срок выполнения работ превышает календарный год, то индекс прогнозной инфляции для второго и последующих годов, определяется с учетом установленных договором сроков строительства по формуле: 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 xml:space="preserve">       </w:t>
      </w:r>
      <w:r>
        <w:rPr>
          <w:rFonts w:cs="Times New Roman" w:ascii="Times New Roman" w:hAnsi="Times New Roman"/>
          <w:sz w:val="22"/>
        </w:rPr>
        <w:t>Цд=С * Иинфл     (2)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>где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cs="Times New Roman" w:ascii="Times New Roman" w:hAnsi="Times New Roman"/>
          <w:i/>
          <w:iCs/>
          <w:sz w:val="22"/>
        </w:rPr>
        <w:t xml:space="preserve">Цд </w:t>
      </w:r>
      <w:r>
        <w:rPr>
          <w:rFonts w:cs="Times New Roman" w:ascii="Times New Roman" w:hAnsi="Times New Roman"/>
          <w:sz w:val="22"/>
        </w:rPr>
        <w:t>– стоимость договора (этапа);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cs="Times New Roman" w:ascii="Times New Roman" w:hAnsi="Times New Roman"/>
          <w:i/>
          <w:iCs/>
          <w:sz w:val="22"/>
        </w:rPr>
        <w:t>С</w:t>
      </w:r>
      <w:r>
        <w:rPr>
          <w:rFonts w:cs="Times New Roman" w:ascii="Times New Roman" w:hAnsi="Times New Roman"/>
          <w:sz w:val="22"/>
        </w:rPr>
        <w:t xml:space="preserve"> - сметная стоимость подрядных работ, подлежащих выполнению подрядчиком; 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cs="Times New Roman"/>
          <w:i/>
          <w:i/>
          <w:iCs/>
        </w:rPr>
      </w:pPr>
      <w:r>
        <w:rPr>
          <w:rFonts w:cs="Times New Roman"/>
          <w:i/>
          <w:iCs/>
        </w:rPr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cs="Times New Roman" w:ascii="Times New Roman" w:hAnsi="Times New Roman"/>
          <w:i/>
          <w:iCs/>
          <w:sz w:val="22"/>
        </w:rPr>
        <w:t xml:space="preserve">Иинф </w:t>
      </w:r>
      <w:r>
        <w:rPr>
          <w:rFonts w:cs="Times New Roman" w:ascii="Times New Roman" w:hAnsi="Times New Roman"/>
          <w:sz w:val="22"/>
        </w:rPr>
        <w:t xml:space="preserve">– индекс инфляции, рассчитываемый по формуле: 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 xml:space="preserve">      </w:t>
      </w:r>
      <w:r>
        <w:rPr>
          <w:rFonts w:cs="Times New Roman" w:ascii="Times New Roman" w:hAnsi="Times New Roman"/>
          <w:sz w:val="22"/>
        </w:rPr>
        <w:t>И инф = Д1*К1+Д2*К2+...+Дi*Кi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>где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cs="Times New Roman" w:ascii="Times New Roman" w:hAnsi="Times New Roman"/>
          <w:i/>
          <w:iCs/>
          <w:sz w:val="22"/>
        </w:rPr>
        <w:t xml:space="preserve">Д1, Д2, Дi </w:t>
      </w:r>
      <w:r>
        <w:rPr>
          <w:rFonts w:cs="Times New Roman" w:ascii="Times New Roman" w:hAnsi="Times New Roman"/>
          <w:sz w:val="22"/>
        </w:rPr>
        <w:t>- доля сметной стоимости работ соответственно в 1-й, 2-й, 3-й, i-ый годы строительства;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cs="Times New Roman" w:ascii="Times New Roman" w:hAnsi="Times New Roman"/>
          <w:i/>
          <w:iCs/>
          <w:sz w:val="22"/>
        </w:rPr>
        <w:t>i</w:t>
      </w:r>
      <w:r>
        <w:rPr>
          <w:rFonts w:cs="Times New Roman" w:ascii="Times New Roman" w:hAnsi="Times New Roman"/>
          <w:sz w:val="22"/>
        </w:rPr>
        <w:t xml:space="preserve"> - год завершения строительства объекта;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cs="Times New Roman" w:ascii="Times New Roman" w:hAnsi="Times New Roman"/>
          <w:i/>
          <w:iCs/>
          <w:sz w:val="22"/>
        </w:rPr>
        <w:t xml:space="preserve">К1 </w:t>
      </w:r>
      <w:r>
        <w:rPr>
          <w:rFonts w:cs="Times New Roman" w:ascii="Times New Roman" w:hAnsi="Times New Roman"/>
          <w:sz w:val="22"/>
        </w:rPr>
        <w:t>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cs="Times New Roman" w:ascii="Times New Roman" w:hAnsi="Times New Roman"/>
          <w:i/>
          <w:iCs/>
          <w:sz w:val="22"/>
        </w:rPr>
        <w:t xml:space="preserve">К2 </w:t>
      </w:r>
      <w:r>
        <w:rPr>
          <w:rFonts w:cs="Times New Roman" w:ascii="Times New Roman" w:hAnsi="Times New Roman"/>
          <w:sz w:val="22"/>
        </w:rPr>
        <w:t>-индекс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cs="Times New Roman" w:ascii="Times New Roman" w:hAnsi="Times New Roman"/>
          <w:i/>
          <w:iCs/>
          <w:sz w:val="22"/>
        </w:rPr>
        <w:t xml:space="preserve">Кi </w:t>
      </w:r>
      <w:r>
        <w:rPr>
          <w:rFonts w:cs="Times New Roman" w:ascii="Times New Roman" w:hAnsi="Times New Roman"/>
          <w:sz w:val="22"/>
        </w:rPr>
        <w:t xml:space="preserve">- индекс прогнозной инфляции, учитывающий инфляцию за весь период строительства объекта. </w:t>
        <w:tab/>
        <w:t>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</w:t>
      </w:r>
      <w:r>
        <w:rPr>
          <w:rFonts w:ascii="Times New Roman" w:hAnsi="Times New Roman"/>
          <w:sz w:val="22"/>
        </w:rPr>
        <w:t xml:space="preserve"> (пример расчета индекса-дефлятора приведен ниже)</w:t>
      </w:r>
      <w:r>
        <w:rPr>
          <w:rFonts w:cs="Times New Roman" w:ascii="Times New Roman" w:hAnsi="Times New Roman"/>
          <w:sz w:val="22"/>
        </w:rPr>
        <w:t>.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ab/>
        <w:t>При этом: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>1)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(2).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2) если договором предусмотрен график выполнения работ с разбивкой на этапы (дата начала работ по этапу – дата окончания работ по этапу), дефлятор применяется в соответствии с таким графиком, и рассчитывается на каждый этап, в соответствии с формулой (2).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ab/>
        <w:t xml:space="preserve">Если для определения ПЦ используется сметная документация, разработанная на основании СНБ применяемой на дату формирования ПЦ, то пересчет сметной стоимости работ в уровень цен на дату определения ПЦ осуществляется с использованием индексов изменения сметной стоимости, размещенных Минстроем России в ФРСН, действующих на дату определения ПЦ. </w:t>
      </w:r>
    </w:p>
    <w:p>
      <w:pPr>
        <w:pStyle w:val="Style36"/>
        <w:widowControl w:val="false"/>
        <w:numPr>
          <w:ilvl w:val="0"/>
          <w:numId w:val="0"/>
        </w:numPr>
        <w:ind w:left="0" w:hanging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ab/>
        <w:t>В случае если сметная документация разработана в СНБ не применяемой на дату определения ПЦ, то пересчет сметной стоимости работ в уровень цен на дату определения ПЦ осуществляется с использованием индекса фактической инфляции (опубликованный на сайте https://www.fedstat.ru/, индексы цен на продукцию (затраты, услуги) инвестиционного назначения с 2017г., по Российской Федерации в целом, с учетом вида экономической деятельности). Пример расчета индекса фактической инфляции приведен ниже.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center"/>
        <w:textAlignment w:val="baseline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Пример расчета единого индекса-дефлятора к  договору</w:t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center"/>
        <w:textAlignment w:val="baseline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</w:p>
    <w:p>
      <w:pPr>
        <w:pStyle w:val="Normal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>В соответствии с условиями Договора начало строительства – сентябрь 2024г, окончание декабрь 2025 г. Продолжительность реконструкции / строительства составляет– 16 месяцев.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Cs/>
        </w:rPr>
        <w:t>Сметная документация составлена с применением СНБ – ГЭСН-2020, ФЕР – 2020 (с изм 1-9).</w:t>
      </w:r>
    </w:p>
    <w:p>
      <w:pPr>
        <w:pStyle w:val="Normal"/>
        <w:tabs>
          <w:tab w:val="clear" w:pos="709"/>
          <w:tab w:val="left" w:pos="1134" w:leader="none"/>
        </w:tabs>
        <w:ind w:left="720"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Доля сметной стоимости в 2024 году – 0,25 (4 мес. из 16) </w:t>
      </w:r>
    </w:p>
    <w:p>
      <w:pPr>
        <w:pStyle w:val="Normal"/>
        <w:tabs>
          <w:tab w:val="clear" w:pos="709"/>
          <w:tab w:val="left" w:pos="1134" w:leader="none"/>
        </w:tabs>
        <w:ind w:left="720"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Доля сметной стоимости в 2025 году - 0,75 (12 мес. из 16).</w:t>
      </w:r>
    </w:p>
    <w:p>
      <w:pPr>
        <w:pStyle w:val="Normal"/>
        <w:tabs>
          <w:tab w:val="clear" w:pos="709"/>
          <w:tab w:val="left" w:pos="1134" w:leader="none"/>
        </w:tabs>
        <w:ind w:left="720"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Годовой индекс инфляции по данным Министерства экономического развития (письмо от __.__.20__г №_____ «__________________»): </w:t>
      </w:r>
    </w:p>
    <w:p>
      <w:pPr>
        <w:pStyle w:val="Normal"/>
        <w:tabs>
          <w:tab w:val="clear" w:pos="709"/>
          <w:tab w:val="left" w:pos="1134" w:leader="none"/>
        </w:tabs>
        <w:ind w:left="720"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на 2024г. - 114,6%, </w:t>
      </w:r>
    </w:p>
    <w:p>
      <w:pPr>
        <w:pStyle w:val="Normal"/>
        <w:tabs>
          <w:tab w:val="clear" w:pos="709"/>
          <w:tab w:val="left" w:pos="1134" w:leader="none"/>
        </w:tabs>
        <w:ind w:left="720"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на 2025г. – 107,0%:</w:t>
      </w:r>
    </w:p>
    <w:p>
      <w:pPr>
        <w:pStyle w:val="Normal"/>
        <w:tabs>
          <w:tab w:val="clear" w:pos="709"/>
          <w:tab w:val="left" w:pos="1134" w:leader="none"/>
        </w:tabs>
        <w:ind w:left="720"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Ежемесячный индекс-инфляции:</w:t>
      </w:r>
    </w:p>
    <w:p>
      <w:pPr>
        <w:pStyle w:val="ConsPlusNormal1"/>
        <w:tabs>
          <w:tab w:val="clear" w:pos="709"/>
          <w:tab w:val="left" w:pos="1134" w:leader="none"/>
        </w:tabs>
        <w:jc w:val="both"/>
        <w:rPr>
          <w:rFonts w:ascii="Times New Roman" w:hAnsi="Times New Roman"/>
          <w:sz w:val="22"/>
          <w:szCs w:val="22"/>
        </w:rPr>
      </w:pPr>
      <w:r>
        <w:rPr/>
        <mc:AlternateContent>
          <mc:Choice Requires="wps">
            <w:drawing>
              <wp:inline distT="0" distB="0" distL="0" distR="0">
                <wp:extent cx="2303780" cy="228600"/>
                <wp:effectExtent l="0" t="0" r="0" b="0"/>
                <wp:docPr id="1" name="Text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3640" cy="2286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rPr/>
                            </w:pPr>
                            <w:r>
                              <w:rPr/>
                            </w:r>
                            <m:oMath xmlns:m="http://schemas.openxmlformats.org/officeDocument/2006/math">
                              <m:r>
                                <w:rPr>
                                  <w:rFonts w:ascii="Cambria Math" w:hAnsi="Cambria Math"/>
                                </w:rPr>
                                <m:t xml:space="preserve">Иинфмес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2024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ad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1.146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1,0114</m:t>
                              </m:r>
                            </m:oMath>
                            <w:r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,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3" path="m0,0l-2147483645,0l-2147483645,-2147483646l0,-2147483646xe" stroked="f" o:allowincell="f" style="position:absolute;margin-left:0pt;margin-top:-18.05pt;width:181.35pt;height:17.95pt;mso-wrap-style:square;v-text-anchor:top;mso-position-vertical:top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rPr/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Иинфмес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2024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1.146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1,0114</m:t>
                        </m:r>
                      </m:oMath>
                      <w:r>
                        <w:rPr>
                          <w:iCs/>
                          <w:color w:val="000000"/>
                        </w:rPr>
                        <w:t xml:space="preserve"> </w:t>
                      </w:r>
                      <w:r>
                        <w:rPr>
                          <w:iCs/>
                          <w:color w:val="000000"/>
                          <w:sz w:val="28"/>
                          <w:szCs w:val="28"/>
                        </w:rPr>
                        <w:t xml:space="preserve">,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Web"/>
        <w:spacing w:before="0" w:after="0"/>
        <w:contextualSpacing/>
        <w:rPr>
          <w:rFonts w:ascii="Times New Roman" w:hAnsi="Times New Roman"/>
          <w:sz w:val="22"/>
          <w:szCs w:val="22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Иинфмес</m:t>
        </m:r>
        <m:r>
          <w:rPr>
            <w:rFonts w:ascii="Cambria Math" w:hAnsi="Cambria Math"/>
          </w:rPr>
          <m:t xml:space="preserve">2025</m:t>
        </m:r>
        <m:r>
          <w:rPr>
            <w:rFonts w:ascii="Cambria Math" w:hAnsi="Cambria Math"/>
          </w:rPr>
          <m:t xml:space="preserve">=</m:t>
        </m:r>
        <m:rad>
          <m:deg>
            <m:r>
              <w:rPr>
                <w:rFonts w:ascii="Cambria Math" w:hAnsi="Cambria Math"/>
              </w:rPr>
              <m:t xml:space="preserve">12</m:t>
            </m:r>
          </m:deg>
          <m:e>
            <m:r>
              <w:rPr>
                <w:rFonts w:ascii="Cambria Math" w:hAnsi="Cambria Math"/>
              </w:rPr>
              <m:t xml:space="preserve">1.07</m:t>
            </m:r>
          </m:e>
        </m:rad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1,0057</m:t>
        </m:r>
      </m:oMath>
      <w:r>
        <w:rPr>
          <w:rFonts w:ascii="Times New Roman" w:hAnsi="Times New Roman"/>
          <w:iCs/>
          <w:color w:val="000000"/>
          <w:sz w:val="22"/>
          <w:szCs w:val="22"/>
        </w:rPr>
        <w:t xml:space="preserve">, </w:t>
      </w:r>
    </w:p>
    <w:p>
      <w:pPr>
        <w:pStyle w:val="ConsPlusNormal1"/>
        <w:widowControl/>
        <w:tabs>
          <w:tab w:val="clear" w:pos="709"/>
          <w:tab w:val="left" w:pos="1134" w:leader="none"/>
        </w:tabs>
        <w:spacing w:before="0" w:after="40"/>
        <w:ind w:left="720" w:firstLine="56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Индекс-инфляции на период исполнения договора</w:t>
      </w:r>
    </w:p>
    <w:p>
      <w:pPr>
        <w:pStyle w:val="Normal"/>
        <w:tabs>
          <w:tab w:val="clear" w:pos="709"/>
          <w:tab w:val="left" w:pos="0" w:leader="none"/>
        </w:tabs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mc:AlternateContent>
          <mc:Choice Requires="wps">
            <w:drawing>
              <wp:anchor behindDoc="0" distT="0" distB="0" distL="0" distR="0" simplePos="0" locked="0" layoutInCell="0" allowOverlap="1" relativeHeight="6">
                <wp:simplePos x="0" y="0"/>
                <wp:positionH relativeFrom="column">
                  <wp:posOffset>41910</wp:posOffset>
                </wp:positionH>
                <wp:positionV relativeFrom="paragraph">
                  <wp:posOffset>8890</wp:posOffset>
                </wp:positionV>
                <wp:extent cx="3253740" cy="403860"/>
                <wp:effectExtent l="0" t="0" r="0" b="0"/>
                <wp:wrapNone/>
                <wp:docPr id="3" name="TextBox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3680" cy="403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ind w:left="-567" w:hanging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  <m:oMathPara xmlns:m="http://schemas.openxmlformats.org/officeDocument/2006/math"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Иинфлпер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2024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d>
                                  <m:dPr>
                                    <m:begChr m:val="("/>
                                    <m:endChr m:val=")"/>
                                  </m:dPr>
                                  <m:e>
                                    <m:f>
                                      <m:num>
                                        <m:sSup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 xml:space="preserve">1,0114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 xml:space="preserve">3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−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2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 xml:space="preserve">+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1,0173</m:t>
                                </m:r>
                              </m:oMath>
                            </m:oMathPara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Box 4" path="m0,0l-2147483645,0l-2147483645,-2147483646l0,-2147483646xe" stroked="f" o:allowincell="f" style="position:absolute;margin-left:3.3pt;margin-top:0.7pt;width:256.15pt;height:31.75pt;mso-wrap-style:none;v-text-anchor:middle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ind w:left="-567" w:hanging="0"/>
                        <w:jc w:val="center"/>
                        <w:rPr>
                          <w:color w:val="000000"/>
                        </w:rPr>
                      </w:pPr>
                      <w:r>
                        <w:rPr/>
                      </w:r>
                      <m:oMathPara xmlns:m="http://schemas.openxmlformats.org/officeDocument/2006/math"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Иинфлпер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2024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d>
                            <m:dPr>
                              <m:begChr m:val="("/>
                              <m:endChr m:val=")"/>
                            </m:dPr>
                            <m:e>
                              <m:f>
                                <m:num>
                                  <m:sSup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1,0114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3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−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+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1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1,0173</m:t>
                          </m:r>
                        </m:oMath>
                      </m:oMathPara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1"/>
        <w:widowControl/>
        <w:tabs>
          <w:tab w:val="clear" w:pos="709"/>
          <w:tab w:val="left" w:pos="0" w:leader="none"/>
        </w:tabs>
        <w:spacing w:before="0" w:after="40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Normal"/>
        <w:tabs>
          <w:tab w:val="clear" w:pos="709"/>
          <w:tab w:val="left" w:pos="1134" w:leader="none"/>
        </w:tabs>
        <w:ind w:left="720" w:firstLine="567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mc:AlternateContent>
          <mc:Choice Requires="wps">
            <w:drawing>
              <wp:anchor behindDoc="0" distT="0" distB="0" distL="0" distR="0" simplePos="0" locked="0" layoutInCell="0" allowOverlap="1" relativeHeight="8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3680460" cy="373380"/>
                <wp:effectExtent l="0" t="0" r="0" b="0"/>
                <wp:wrapNone/>
                <wp:docPr id="5" name="TextBox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0640" cy="3733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  <m:oMathPara xmlns:m="http://schemas.openxmlformats.org/officeDocument/2006/math"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Иинфлпер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2025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sSup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1,0114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3</m:t>
                                    </m:r>
                                  </m:sup>
                                </m:sSup>
                                <m:d>
                                  <m:dPr>
                                    <m:begChr m:val="("/>
                                    <m:endChr m:val=")"/>
                                  </m:dPr>
                                  <m:e>
                                    <m:f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1,0057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+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1,07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2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1,0738</m:t>
                                </m:r>
                              </m:oMath>
                            </m:oMathPara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Box 1" path="m0,0l-2147483645,0l-2147483645,-2147483646l0,-2147483646xe" stroked="f" o:allowincell="f" style="position:absolute;margin-left:0pt;margin-top:0.45pt;width:289.75pt;height:29.35pt;mso-wrap-style:none;v-text-anchor:middle;mso-position-horizontal:left;mso-position-horizontal-relative:margin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jc w:val="center"/>
                        <w:rPr>
                          <w:color w:val="000000"/>
                        </w:rPr>
                      </w:pPr>
                      <w:r>
                        <w:rPr/>
                      </w:r>
                      <m:oMathPara xmlns:m="http://schemas.openxmlformats.org/officeDocument/2006/math"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Иинфлпер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2025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sSup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 xml:space="preserve">1,0114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 xml:space="preserve">3</m:t>
                              </m:r>
                            </m:sup>
                          </m:sSup>
                          <m:d>
                            <m:dPr>
                              <m:begChr m:val="("/>
                              <m:endChr m:val=")"/>
                            </m:dPr>
                            <m:e>
                              <m:f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1,0057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+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1,07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1,0738</m:t>
                          </m:r>
                        </m:oMath>
                      </m:oMathPara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tabs>
          <w:tab w:val="clear" w:pos="709"/>
          <w:tab w:val="left" w:pos="1134" w:leader="none"/>
        </w:tabs>
        <w:ind w:left="720" w:firstLine="567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tabs>
          <w:tab w:val="clear" w:pos="709"/>
          <w:tab w:val="left" w:pos="1134" w:leader="none"/>
        </w:tabs>
        <w:ind w:left="720" w:firstLine="567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tabs>
          <w:tab w:val="clear" w:pos="709"/>
          <w:tab w:val="left" w:pos="1134" w:leader="none"/>
        </w:tabs>
        <w:ind w:left="720"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Итого индекс-инфляции на 2024-2025гг. 0,25*1,0173+0,75*1,0738=1,0597</w:t>
      </w:r>
    </w:p>
    <w:p>
      <w:pPr>
        <w:pStyle w:val="Normal"/>
        <w:rPr>
          <w:rFonts w:ascii="Times New Roman" w:hAnsi="Times New Roman"/>
        </w:rPr>
      </w:pPr>
      <w:r>
        <w:rPr/>
        <w:drawing>
          <wp:inline distT="0" distB="0" distL="0" distR="0">
            <wp:extent cx="5930900" cy="3149600"/>
            <wp:effectExtent l="0" t="0" r="0" b="0"/>
            <wp:docPr id="7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0" t="8380" r="0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31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/>
        </w:rPr>
      </w:pPr>
      <w:r>
        <w:rPr>
          <w:rFonts w:eastAsia="Calibri" w:cs="Book Antiqua" w:ascii="Times New Roman" w:hAnsi="Times New Roman"/>
          <w:lang w:eastAsia="en-US"/>
        </w:rPr>
        <w:tab/>
        <w:t>Если договором предусмотрен график выполнения работ с разбивкой на этапы</w:t>
      </w:r>
      <w:r>
        <w:rPr>
          <w:rFonts w:cs="Book Antiqua" w:ascii="Times New Roman" w:hAnsi="Times New Roman"/>
        </w:rPr>
        <w:t>, индекс-дефлятор рассчитывается индивидуально для каждого этапа в соответствии с формулой 2 (аналогично примеру расчета единого индекса-дефлятора к договору).</w:t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center"/>
        <w:textAlignment w:val="baseline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Пример расчета индекса фактической инфляции</w:t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</w:r>
    </w:p>
    <w:p>
      <w:pPr>
        <w:pStyle w:val="Dt-p"/>
        <w:shd w:val="clear" w:color="auto" w:fill="FFFFFF"/>
        <w:spacing w:before="0" w:after="0"/>
        <w:ind w:firstLine="567"/>
        <w:contextualSpacing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iCs/>
        </w:rPr>
        <w:t xml:space="preserve">В соответствии с условиями Договора начало строительства – декабрь 2023г, окончание май 2024 г. Продолжительность реконструкции / строительства составляет–6 месяцев. Уровень цен – </w:t>
      </w:r>
      <w:r>
        <w:rPr>
          <w:rFonts w:ascii="Times New Roman" w:hAnsi="Times New Roman"/>
          <w:iCs/>
          <w:u w:val="single"/>
        </w:rPr>
        <w:t>3 квартал 2022</w:t>
      </w:r>
      <w:r>
        <w:rPr>
          <w:rFonts w:ascii="Times New Roman" w:hAnsi="Times New Roman"/>
          <w:iCs/>
        </w:rPr>
        <w:t xml:space="preserve"> г. Сметная документация составлена с применением СНБ – ГЭСН-2020, ФЕР-2020 (с изм 1-7). </w:t>
      </w:r>
    </w:p>
    <w:p>
      <w:pPr>
        <w:pStyle w:val="Dt-p"/>
        <w:shd w:val="clear" w:color="auto" w:fill="FFFFFF"/>
        <w:spacing w:before="0" w:after="0"/>
        <w:ind w:firstLine="567"/>
        <w:contextualSpacing/>
        <w:jc w:val="both"/>
        <w:textAlignment w:val="baseline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Т.к. сметная документация разработана с применением СНБ не действующей на дату определения ПЦ, то расчет сметной стоимости работ в уровень цен на дату определения ПЦ осуществляется с использованием индекса фактической инфляции.</w:t>
      </w:r>
    </w:p>
    <w:p>
      <w:pPr>
        <w:pStyle w:val="Dt-p"/>
        <w:shd w:val="clear" w:color="auto" w:fill="FFFFFF"/>
        <w:spacing w:before="0" w:after="0"/>
        <w:ind w:firstLine="567"/>
        <w:contextualSpacing/>
        <w:jc w:val="both"/>
        <w:textAlignment w:val="baseline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  <w:drawing>
          <wp:inline distT="0" distB="0" distL="0" distR="0">
            <wp:extent cx="5931535" cy="4460875"/>
            <wp:effectExtent l="0" t="0" r="0" b="0"/>
            <wp:docPr id="8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446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object>
          <v:shapetype id="_x0000_tole_rId11" coordsize="21600,21600" o:spt="ole_rId11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1" type="_x0000_tole_rId11" style="width:77.25pt;height:49.5pt;mso-wrap-distance-right:0pt;mso-wrap-distance-bottom:10pt" filled="f" o:ole="">
            <v:imagedata r:id="rId12" o:title=""/>
          </v:shape>
          <o:OLEObject Type="Embed" ProgID="Excel.Sheet.12" ShapeID="ole_rId11" DrawAspect="Icon" ObjectID="_451804461" r:id="rId11"/>
        </w:object>
      </w:r>
    </w:p>
    <w:sectPr>
      <w:footerReference w:type="default" r:id="rId13"/>
      <w:footerReference w:type="first" r:id="rId14"/>
      <w:footnotePr>
        <w:numFmt w:val="decimal"/>
        <w:numRestart w:val="eachSect"/>
      </w:footnotePr>
      <w:type w:val="nextPage"/>
      <w:pgSz w:w="11906" w:h="16838"/>
      <w:pgMar w:left="924" w:right="877" w:gutter="0" w:header="0" w:top="709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Book Antiqua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</w:r>
    </w:p>
  </w:footnote>
  <w:footnote w:id="3">
    <w:p>
      <w:pPr>
        <w:pStyle w:val="FootnoteText"/>
        <w:rPr/>
      </w:pPr>
      <w:r>
        <w:rPr>
          <w:rStyle w:val="Style3"/>
        </w:rPr>
        <w:footnoteRef/>
      </w: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2"/>
        <w:i w:val="false"/>
        <w:u w:val="none"/>
        <w:b w:val="false"/>
        <w:szCs w:val="22"/>
        <w:rFonts w:ascii="Times New Roman" w:hAnsi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347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9"/>
  </w:num>
  <w:num w:numId="17">
    <w:abstractNumId w:val="9"/>
  </w:num>
</w:numbering>
</file>

<file path=word/settings.xml><?xml version="1.0" encoding="utf-8"?>
<w:settings xmlns:w="http://schemas.openxmlformats.org/wordprocessingml/2006/main">
  <w:zoom w:percent="100"/>
  <w:trackRevisions/>
  <w:defaultTabStop w:val="709"/>
  <w:autoHyphenation w:val="true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trackedChanges" w:enforcement="1" w:cryptAlgorithmSid="14" w:cryptSpinCount="100000" w:cryptProviderType="rsaAES" w:cryptAlgorithmClass="hash" w:cryptAlgorithmType="typeAny" w:salt="KLcI8EclhWk+7wX77h5RQg==" w:hash="/crdBlUgeMVxiWI8vRmbhFaZDx3duxWDCs6YmHpxsdcCgqftvBkBIOLFchikdA+/CHaxyjoRpsVUyeNLmFRiIg==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qFormat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qFormat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qFormat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qFormat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qFormat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qFormat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qFormat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Pr/>
  </w:style>
  <w:style w:type="character" w:styleId="Apple-converted-space" w:customStyle="1">
    <w:name w:val="apple-converted-space"/>
    <w:basedOn w:val="DefaultParagraphFont"/>
    <w:qFormat/>
    <w:rPr/>
  </w:style>
  <w:style w:type="character" w:styleId="Style2" w:customStyle="1">
    <w:name w:val="Текст сноски Знак"/>
    <w:qFormat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4"/>
    <w:qFormat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qFormat/>
    <w:rPr/>
  </w:style>
  <w:style w:type="character" w:styleId="Style5" w:customStyle="1">
    <w:name w:val="Нижний колонтитул Знак"/>
    <w:basedOn w:val="DefaultParagraphFont"/>
    <w:qFormat/>
    <w:rPr/>
  </w:style>
  <w:style w:type="character" w:styleId="Linenumber1" w:customStyle="1">
    <w:name w:val="line number1"/>
    <w:basedOn w:val="DefaultParagraphFont"/>
    <w:qFormat/>
    <w:rPr/>
  </w:style>
  <w:style w:type="character" w:styleId="Style6" w:customStyle="1">
    <w:name w:val="Схема документа Знак"/>
    <w:link w:val="DocumentMap"/>
    <w:qFormat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qFormat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qFormat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qFormat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qFormat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qFormat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qFormat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qFormat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qFormat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qFormat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21" w:customStyle="1">
    <w:name w:val="Цитата 2 Знак"/>
    <w:link w:val="Quote"/>
    <w:qFormat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qFormat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qFormat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rPr>
      <w:color w:val="954F72"/>
      <w:u w:val="single"/>
    </w:rPr>
  </w:style>
  <w:style w:type="character" w:styleId="Style13" w:customStyle="1">
    <w:name w:val="Абзац списка Знак"/>
    <w:link w:val="ListParagraph"/>
    <w:qFormat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8"/>
    <w:qFormat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Pr>
      <w:rFonts w:ascii="Arial" w:hAnsi="Arial" w:cs="Arial"/>
    </w:rPr>
  </w:style>
  <w:style w:type="character" w:styleId="12" w:customStyle="1">
    <w:name w:val="Абзац списка Знак1"/>
    <w:basedOn w:val="DefaultParagraphFont"/>
    <w:qFormat/>
    <w:rPr>
      <w:rFonts w:ascii="Calibri" w:hAnsi="Calibri"/>
      <w:sz w:val="22"/>
    </w:rPr>
  </w:style>
  <w:style w:type="character" w:styleId="Linenumber">
    <w:name w:val="line number"/>
    <w:qFormat/>
    <w:rPr/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7" w:customStyle="1">
    <w:name w:val="Маркеры"/>
    <w:qFormat/>
    <w:rPr>
      <w:rFonts w:ascii="OpenSymbol" w:hAnsi="OpenSymbol" w:eastAsia="OpenSymbol" w:cs="OpenSymbol"/>
    </w:rPr>
  </w:style>
  <w:style w:type="character" w:styleId="WW8Num4z0" w:customStyle="1">
    <w:name w:val="WW8Num4z0"/>
    <w:qFormat/>
    <w:rPr>
      <w:u w:val="none"/>
    </w:rPr>
  </w:style>
  <w:style w:type="character" w:styleId="WW8Num5z0" w:customStyle="1">
    <w:name w:val="WW8Num5z0"/>
    <w:qFormat/>
    <w:rPr>
      <w:rFonts w:ascii="Symbol" w:hAnsi="Symbol" w:cs="Symbol"/>
    </w:rPr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5z2" w:customStyle="1">
    <w:name w:val="WW8Num5z2"/>
    <w:qFormat/>
    <w:rPr>
      <w:rFonts w:ascii="Wingdings" w:hAnsi="Wingdings" w:cs="Wingdings"/>
    </w:rPr>
  </w:style>
  <w:style w:type="character" w:styleId="WW8Num6z0" w:customStyle="1">
    <w:name w:val="WW8Num6z0"/>
    <w:qFormat/>
    <w:rPr>
      <w:rFonts w:ascii="Symbol" w:hAnsi="Symbol" w:cs="Symbol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2" w:customStyle="1">
    <w:name w:val="WW8Num6z2"/>
    <w:qFormat/>
    <w:rPr>
      <w:rFonts w:ascii="Wingdings" w:hAnsi="Wingdings" w:cs="Wingdings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ListParagraph">
    <w:name w:val="List Paragraph"/>
    <w:basedOn w:val="Normal"/>
    <w:link w:val="Style13"/>
    <w:qFormat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0" w:customStyle="1">
    <w:name w:val="Обычный+ без отступа"/>
    <w:basedOn w:val="Normal"/>
    <w:qFormat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1" w:customStyle="1">
    <w:name w:val="Таблица шапка"/>
    <w:basedOn w:val="Normal"/>
    <w:qFormat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2" w:customStyle="1">
    <w:name w:val="Текст таблицы"/>
    <w:basedOn w:val="Normal"/>
    <w:qFormat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3" w:customStyle="1">
    <w:name w:val="Пункт Знак"/>
    <w:basedOn w:val="Normal"/>
    <w:qFormat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4" w:customStyle="1">
    <w:name w:val="Подпункт"/>
    <w:basedOn w:val="Style23"/>
    <w:link w:val="1"/>
    <w:qFormat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5" w:customStyle="1">
    <w:name w:val="Подподпункт"/>
    <w:basedOn w:val="Style24"/>
    <w:qFormat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6" w:customStyle="1">
    <w:name w:val="Подподподпункт"/>
    <w:basedOn w:val="Normal"/>
    <w:qFormat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qFormat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7" w:customStyle="1">
    <w:name w:val="Таблица"/>
    <w:basedOn w:val="Normal"/>
    <w:qFormat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pPr>
      <w:spacing w:before="0" w:after="200"/>
      <w:ind w:left="720" w:hanging="0"/>
      <w:contextualSpacing/>
    </w:pPr>
    <w:rPr/>
  </w:style>
  <w:style w:type="paragraph" w:styleId="Style28" w:customStyle="1">
    <w:name w:val="Колонтитул"/>
    <w:basedOn w:val="Normal"/>
    <w:link w:val="Style14"/>
    <w:qFormat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9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qFormat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11" w:customStyle="1">
    <w:name w:val="caption1111"/>
    <w:basedOn w:val="Normal"/>
    <w:next w:val="Normal"/>
    <w:qFormat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qFormat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qFormat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qFormat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qFormat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next w:val="Normal"/>
    <w:qFormat/>
    <w:pPr>
      <w:outlineLvl w:val="9"/>
    </w:pPr>
    <w:rPr/>
  </w:style>
  <w:style w:type="paragraph" w:styleId="E-mailSignature">
    <w:name w:val="E-mail Signature"/>
    <w:basedOn w:val="Normal"/>
    <w:link w:val="Style10"/>
    <w:qFormat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0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qFormat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qFormat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1" w:customStyle="1">
    <w:name w:val="Пункт"/>
    <w:basedOn w:val="Normal"/>
    <w:qFormat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2" w:customStyle="1">
    <w:name w:val="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pPr>
      <w:numPr>
        <w:ilvl w:val="0"/>
        <w:numId w:val="12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Style33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4" w:customStyle="1">
    <w:name w:val="Заголовок таблицы"/>
    <w:basedOn w:val="Style33"/>
    <w:qFormat/>
    <w:pPr>
      <w:jc w:val="center"/>
    </w:pPr>
    <w:rPr>
      <w:b/>
      <w:bCs/>
    </w:rPr>
  </w:style>
  <w:style w:type="paragraph" w:styleId="Style35" w:customStyle="1">
    <w:name w:val="Содержимое врезки"/>
    <w:basedOn w:val="Normal"/>
    <w:qFormat/>
    <w:pPr/>
    <w:rPr/>
  </w:style>
  <w:style w:type="paragraph" w:styleId="34" w:customStyle="1">
    <w:name w:val="РГ_текст3"/>
    <w:basedOn w:val="Normal"/>
    <w:qFormat/>
    <w:pPr>
      <w:ind w:left="851" w:hanging="0"/>
    </w:pPr>
    <w:rPr>
      <w:sz w:val="28"/>
      <w:szCs w:val="28"/>
    </w:rPr>
  </w:style>
  <w:style w:type="paragraph" w:styleId="Style36" w:customStyle="1">
    <w:name w:val="РГ_номер текста табл"/>
    <w:basedOn w:val="ListParagraph"/>
    <w:qFormat/>
    <w:pPr>
      <w:numPr>
        <w:ilvl w:val="0"/>
        <w:numId w:val="9"/>
      </w:numPr>
      <w:spacing w:lineRule="auto" w:line="240" w:before="0" w:after="0"/>
      <w:contextualSpacing/>
      <w:jc w:val="both"/>
    </w:pPr>
    <w:rPr>
      <w:rFonts w:ascii="Book Antiqua" w:hAnsi="Book Antiqua" w:eastAsia="Calibri" w:cs="Book Antiqua"/>
      <w:sz w:val="24"/>
      <w:lang w:eastAsia="en-US"/>
    </w:rPr>
  </w:style>
  <w:style w:type="paragraph" w:styleId="Dt-p" w:customStyle="1">
    <w:name w:val="dt-p"/>
    <w:basedOn w:val="Normal"/>
    <w:qFormat/>
    <w:pPr>
      <w:spacing w:before="280" w:after="28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5314699601" w:customStyle="1">
    <w:name w:val="15314699601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package" Target="embeddings/oleObject1.xlsx"/><Relationship Id="rId12" Type="http://schemas.openxmlformats.org/officeDocument/2006/relationships/image" Target="media/image3.wmf"/><Relationship Id="rId13" Type="http://schemas.openxmlformats.org/officeDocument/2006/relationships/footer" Target="footer8.xml"/><Relationship Id="rId14" Type="http://schemas.openxmlformats.org/officeDocument/2006/relationships/footer" Target="footer9.xml"/><Relationship Id="rId15" Type="http://schemas.openxmlformats.org/officeDocument/2006/relationships/footnotes" Target="footnotes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Application>AlterOffice/3.4.0.9$Linux_X86_64 LibreOffice_project/b8daf9e823b1a5463a2f48435ddc2e8696e7d4fc</Application>
  <AppVersion>15.0000</AppVersion>
  <Pages>15</Pages>
  <Words>3408</Words>
  <Characters>22567</Characters>
  <CharactersWithSpaces>26866</CharactersWithSpaces>
  <Paragraphs>354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2024-09-25T11:57:00Z</dcterms:created>
  <dc:creator>Шиловская Елена Николаевна</dc:creator>
  <dc:description/>
  <dc:language>ru-RU</dc:language>
  <cp:lastModifiedBy>murinatv@corp.gidroogk.com</cp:lastModifiedBy>
  <cp:lastPrinted>2021-07-09T09:18:00Z</cp:lastPrinted>
  <dcterms:modified xsi:type="dcterms:W3CDTF">2026-05-27T09:09:52Z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0</vt:r8>
  </property>
  <property fmtid="{D5CDD505-2E9C-101B-9397-08002B2CF9AE}" pid="3" name="_MarkAsFinal">
    <vt:bool>1</vt:bool>
  </property>
</Properties>
</file>